
<file path=[Content_Types].xml><?xml version="1.0" encoding="utf-8"?>
<Types xmlns="http://schemas.openxmlformats.org/package/2006/content-types">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663" w:rsidRPr="008A5239" w:rsidRDefault="00786C10" w:rsidP="00C612C8">
      <w:r>
        <w:rPr>
          <w:noProof/>
          <w:lang w:eastAsia="en-CA"/>
        </w:rPr>
        <w:drawing>
          <wp:anchor distT="0" distB="0" distL="114300" distR="114300" simplePos="0" relativeHeight="251658240" behindDoc="0" locked="0" layoutInCell="1" allowOverlap="1">
            <wp:simplePos x="0" y="0"/>
            <wp:positionH relativeFrom="column">
              <wp:posOffset>2832735</wp:posOffset>
            </wp:positionH>
            <wp:positionV relativeFrom="paragraph">
              <wp:posOffset>-78740</wp:posOffset>
            </wp:positionV>
            <wp:extent cx="4267200" cy="2095500"/>
            <wp:effectExtent l="38100" t="0" r="0" b="0"/>
            <wp:wrapSquare wrapText="bothSides"/>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anchor>
        </w:drawing>
      </w:r>
      <w:r w:rsidR="004F0663" w:rsidRPr="008A5239">
        <w:rPr>
          <w:u w:val="single"/>
        </w:rPr>
        <w:t>Hazard:</w:t>
      </w:r>
      <w:r w:rsidR="004F0663" w:rsidRPr="008A5239">
        <w:rPr>
          <w:rFonts w:ascii="MyriadPro-Regular" w:hAnsi="MyriadPro-Regular" w:cs="MyriadPro-Regular"/>
        </w:rPr>
        <w:t xml:space="preserve"> </w:t>
      </w:r>
      <w:r w:rsidR="0049424A">
        <w:t xml:space="preserve">A threat </w:t>
      </w:r>
      <w:r w:rsidR="004F0663" w:rsidRPr="008A5239">
        <w:t>that has the potential to cause loss of life, injury, property damage, socio-economic disruption or environmental degradation.</w:t>
      </w:r>
      <w:r w:rsidR="004F0663" w:rsidRPr="008A5239">
        <w:br/>
      </w:r>
      <w:r w:rsidR="004F0663" w:rsidRPr="008A5239">
        <w:rPr>
          <w:u w:val="single"/>
        </w:rPr>
        <w:t>Disaster:</w:t>
      </w:r>
      <w:r w:rsidR="004F0663" w:rsidRPr="008A5239">
        <w:rPr>
          <w:rFonts w:ascii="MyriadPro-Regular" w:hAnsi="MyriadPro-Regular" w:cs="MyriadPro-Regular"/>
        </w:rPr>
        <w:t xml:space="preserve"> </w:t>
      </w:r>
      <w:r w:rsidR="004F0663" w:rsidRPr="008A5239">
        <w:t>A major hazard event that causes widespread disruption to a community or region that the affected community is unable to deal with adequately without outside help.</w:t>
      </w:r>
    </w:p>
    <w:p w:rsidR="004F0663" w:rsidRPr="008A5239" w:rsidRDefault="00786C10" w:rsidP="00786C10">
      <w:r>
        <w:t>(</w:t>
      </w:r>
      <w:r w:rsidR="0049424A">
        <w:t>Distinction</w:t>
      </w:r>
      <w:r w:rsidR="004354E0">
        <w:t xml:space="preserve"> between the two is</w:t>
      </w:r>
      <w:r w:rsidR="0049424A">
        <w:t xml:space="preserve"> </w:t>
      </w:r>
      <w:r w:rsidR="004F0663" w:rsidRPr="008A5239">
        <w:t>not always objective because difficult to predict</w:t>
      </w:r>
      <w:r w:rsidR="0049424A">
        <w:t xml:space="preserve"> severity</w:t>
      </w:r>
      <w:r>
        <w:t>)</w:t>
      </w:r>
    </w:p>
    <w:p w:rsidR="0049424A" w:rsidRDefault="0007799C" w:rsidP="001A69C0">
      <w:pPr>
        <w:spacing w:before="100" w:beforeAutospacing="1" w:after="100" w:afterAutospacing="1" w:line="240" w:lineRule="auto"/>
      </w:pPr>
      <w:r>
        <w:rPr>
          <w:noProof/>
          <w:lang w:eastAsia="en-CA"/>
        </w:rPr>
        <w:pict>
          <v:shapetype id="_x0000_t202" coordsize="21600,21600" o:spt="202" path="m,l,21600r21600,l21600,xe">
            <v:stroke joinstyle="miter"/>
            <v:path gradientshapeok="t" o:connecttype="rect"/>
          </v:shapetype>
          <v:shape id="_x0000_s1027" type="#_x0000_t202" style="position:absolute;margin-left:268.05pt;margin-top:12.15pt;width:261.75pt;height:178.5pt;z-index:251660288">
            <v:textbox>
              <w:txbxContent>
                <w:p w:rsidR="00786C10" w:rsidRDefault="00786C10" w:rsidP="00786C10">
                  <w:pPr>
                    <w:spacing w:before="100" w:beforeAutospacing="1" w:after="100" w:afterAutospacing="1" w:line="240" w:lineRule="auto"/>
                  </w:pPr>
                  <w:r w:rsidRPr="008A5239">
                    <w:t>Causes and impacts of 1 human induced hazard/disaster</w:t>
                  </w:r>
                  <w:r>
                    <w:t>:</w:t>
                  </w:r>
                </w:p>
                <w:p w:rsidR="00786C10" w:rsidRDefault="00786C10" w:rsidP="00786C10">
                  <w:pPr>
                    <w:spacing w:before="100" w:beforeAutospacing="1" w:after="100" w:afterAutospacing="1" w:line="240" w:lineRule="auto"/>
                  </w:pPr>
                  <w:r>
                    <w:t xml:space="preserve"> Chernobyl, Ukraine: nuclear accident</w:t>
                  </w:r>
                  <w:r>
                    <w:br/>
                    <w:t xml:space="preserve"> April 26, 1986</w:t>
                  </w:r>
                  <w:r>
                    <w:br/>
                  </w:r>
                  <w:r w:rsidR="004354E0">
                    <w:t xml:space="preserve">- </w:t>
                  </w:r>
                  <w:r>
                    <w:t xml:space="preserve">Caused by: operator error, safety systems off, ignored </w:t>
                  </w:r>
                  <w:r w:rsidR="007606AB">
                    <w:t>regulation</w:t>
                  </w:r>
                  <w:r>
                    <w:t xml:space="preserve">, instruction </w:t>
                  </w:r>
                  <w:r w:rsidR="007606AB">
                    <w:t xml:space="preserve">and design deficiencies and heated up/melted rods lead to reaction speeding up instead of stopping </w:t>
                  </w:r>
                  <w:r w:rsidR="004354E0">
                    <w:br/>
                    <w:t xml:space="preserve">- </w:t>
                  </w:r>
                  <w:r>
                    <w:t>Impacts: radioactive contamination</w:t>
                  </w:r>
                  <w:r w:rsidR="007606AB">
                    <w:t xml:space="preserve"> and other effects to health</w:t>
                  </w:r>
                  <w:r w:rsidR="004354E0">
                    <w:t xml:space="preserve"> (</w:t>
                  </w:r>
                  <w:r w:rsidR="007606AB">
                    <w:t>cancer), killed workers, destroyed building, learne</w:t>
                  </w:r>
                  <w:r w:rsidR="00F1031A">
                    <w:t>d from it- better planning now</w:t>
                  </w:r>
                </w:p>
                <w:p w:rsidR="00786C10" w:rsidRDefault="00786C10"/>
              </w:txbxContent>
            </v:textbox>
          </v:shape>
        </w:pict>
      </w:r>
      <w:r>
        <w:rPr>
          <w:noProof/>
          <w:lang w:eastAsia="en-CA"/>
        </w:rPr>
        <w:pict>
          <v:shape id="_x0000_s1026" type="#_x0000_t202" style="position:absolute;margin-left:-12.45pt;margin-top:3.9pt;width:258pt;height:186.75pt;z-index:251659264">
            <v:textbox>
              <w:txbxContent>
                <w:p w:rsidR="004354E0" w:rsidRDefault="00786C10" w:rsidP="00786C10">
                  <w:pPr>
                    <w:spacing w:before="100" w:beforeAutospacing="1" w:after="100" w:afterAutospacing="1" w:line="240" w:lineRule="auto"/>
                  </w:pPr>
                  <w:r w:rsidRPr="008A5239">
                    <w:t>Causes and impacts of 1 disaster resulting from natural hazard</w:t>
                  </w:r>
                  <w:r>
                    <w:t>:</w:t>
                  </w:r>
                </w:p>
                <w:p w:rsidR="00786C10" w:rsidRPr="00786C10" w:rsidRDefault="004354E0" w:rsidP="00786C10">
                  <w:pPr>
                    <w:spacing w:before="100" w:beforeAutospacing="1" w:after="100" w:afterAutospacing="1" w:line="240" w:lineRule="auto"/>
                  </w:pPr>
                  <w:r>
                    <w:t xml:space="preserve"> Volcano: </w:t>
                  </w:r>
                  <w:r w:rsidR="00786C10">
                    <w:t xml:space="preserve">Soufriere Hills, Montserrat. </w:t>
                  </w:r>
                  <w:r w:rsidR="00786C10">
                    <w:br/>
                    <w:t>- Caused from magma chamber exploding due to pressure, causing eruption</w:t>
                  </w:r>
                  <w:r w:rsidR="00786C10">
                    <w:br/>
                    <w:t>- Impacts: (long term/short term</w:t>
                  </w:r>
                  <w:proofErr w:type="gramStart"/>
                  <w:r w:rsidR="00786C10">
                    <w:t>)</w:t>
                  </w:r>
                  <w:proofErr w:type="gramEnd"/>
                  <w:r w:rsidR="00786C10">
                    <w:br/>
                  </w:r>
                  <w:r w:rsidR="00F1031A">
                    <w:t>kills lives, homes/businesses destroyed</w:t>
                  </w:r>
                  <w:r>
                    <w:t xml:space="preserve">, health problems, </w:t>
                  </w:r>
                  <w:r w:rsidR="00786C10">
                    <w:t>costs</w:t>
                  </w:r>
                  <w:r w:rsidR="00F1031A">
                    <w:t>, jobs lost, a</w:t>
                  </w:r>
                  <w:r w:rsidR="00786C10">
                    <w:t xml:space="preserve">gricultural production </w:t>
                  </w:r>
                  <w:r w:rsidR="00786C10" w:rsidRPr="0093331A">
                    <w:t>dam</w:t>
                  </w:r>
                  <w:r w:rsidR="00786C10">
                    <w:t xml:space="preserve">aged, </w:t>
                  </w:r>
                  <w:r w:rsidR="00F1031A">
                    <w:t>i</w:t>
                  </w:r>
                  <w:r w:rsidR="00786C10" w:rsidRPr="0093331A">
                    <w:t>mp</w:t>
                  </w:r>
                  <w:r w:rsidR="00786C10">
                    <w:t xml:space="preserve">acts on industry, </w:t>
                  </w:r>
                  <w:r w:rsidR="00786C10" w:rsidRPr="0093331A">
                    <w:t xml:space="preserve">highways disrupted </w:t>
                  </w:r>
                  <w:r w:rsidR="00786C10">
                    <w:t xml:space="preserve">and </w:t>
                  </w:r>
                  <w:r w:rsidR="00786C10" w:rsidRPr="0093331A">
                    <w:t>majo</w:t>
                  </w:r>
                  <w:r w:rsidR="00786C10">
                    <w:t>r road bridges destroyed</w:t>
                  </w:r>
                  <w:r w:rsidR="00F1031A" w:rsidRPr="00F1031A">
                    <w:t xml:space="preserve"> </w:t>
                  </w:r>
                  <w:r w:rsidR="00F1031A">
                    <w:t>and other destruction infra-structure and communications</w:t>
                  </w:r>
                  <w:r w:rsidR="00786C10">
                    <w:t xml:space="preserve">, </w:t>
                  </w:r>
                  <w:r w:rsidR="00F1031A">
                    <w:t>m</w:t>
                  </w:r>
                  <w:r w:rsidR="00786C10" w:rsidRPr="0093331A">
                    <w:t>oved homes</w:t>
                  </w:r>
                  <w:r w:rsidR="00F1031A">
                    <w:br/>
                  </w:r>
                </w:p>
                <w:p w:rsidR="00786C10" w:rsidRDefault="00786C10"/>
              </w:txbxContent>
            </v:textbox>
          </v:shape>
        </w:pict>
      </w:r>
    </w:p>
    <w:p w:rsidR="00786C10" w:rsidRDefault="00786C10" w:rsidP="00D8013B">
      <w:pPr>
        <w:spacing w:before="100" w:beforeAutospacing="1" w:after="100" w:afterAutospacing="1" w:line="240" w:lineRule="auto"/>
      </w:pPr>
    </w:p>
    <w:p w:rsidR="00786C10" w:rsidRDefault="00786C10" w:rsidP="00D8013B">
      <w:pPr>
        <w:spacing w:before="100" w:beforeAutospacing="1" w:after="100" w:afterAutospacing="1" w:line="240" w:lineRule="auto"/>
      </w:pPr>
    </w:p>
    <w:p w:rsidR="00786C10" w:rsidRDefault="00786C10" w:rsidP="00D8013B">
      <w:pPr>
        <w:spacing w:before="100" w:beforeAutospacing="1" w:after="100" w:afterAutospacing="1" w:line="240" w:lineRule="auto"/>
      </w:pPr>
    </w:p>
    <w:p w:rsidR="00786C10" w:rsidRDefault="00786C10" w:rsidP="00D8013B">
      <w:pPr>
        <w:spacing w:before="100" w:beforeAutospacing="1" w:after="100" w:afterAutospacing="1" w:line="240" w:lineRule="auto"/>
      </w:pPr>
    </w:p>
    <w:p w:rsidR="00F1031A" w:rsidRDefault="00F1031A" w:rsidP="00D8013B">
      <w:pPr>
        <w:spacing w:before="100" w:beforeAutospacing="1" w:after="100" w:afterAutospacing="1" w:line="240" w:lineRule="auto"/>
      </w:pPr>
    </w:p>
    <w:p w:rsidR="00F1031A" w:rsidRDefault="00F1031A" w:rsidP="00D8013B">
      <w:pPr>
        <w:spacing w:before="100" w:beforeAutospacing="1" w:after="100" w:afterAutospacing="1" w:line="240" w:lineRule="auto"/>
      </w:pPr>
    </w:p>
    <w:p w:rsidR="00F1031A" w:rsidRPr="00C612C8" w:rsidRDefault="00F1031A" w:rsidP="00D8013B">
      <w:pPr>
        <w:spacing w:before="100" w:beforeAutospacing="1" w:after="100" w:afterAutospacing="1" w:line="240" w:lineRule="auto"/>
        <w:rPr>
          <w:rStyle w:val="apple-style-span"/>
          <w:color w:val="000000"/>
          <w:shd w:val="clear" w:color="auto" w:fill="FFFFFF"/>
        </w:rPr>
      </w:pPr>
      <w:r w:rsidRPr="00C612C8">
        <w:rPr>
          <w:sz w:val="24"/>
          <w:szCs w:val="24"/>
        </w:rPr>
        <w:br/>
        <w:t>Ways intensity and impacts vary in space and have changed over time</w:t>
      </w:r>
      <w:proofErr w:type="gramStart"/>
      <w:r w:rsidRPr="00C612C8">
        <w:rPr>
          <w:sz w:val="24"/>
          <w:szCs w:val="24"/>
        </w:rPr>
        <w:t>:</w:t>
      </w:r>
      <w:proofErr w:type="gramEnd"/>
      <w:r w:rsidRPr="00C612C8">
        <w:br/>
        <w:t xml:space="preserve">- trends: exponential increase. </w:t>
      </w:r>
      <w:r w:rsidRPr="00C612C8">
        <w:br/>
        <w:t>Due to:  improvements in information access, population growth</w:t>
      </w:r>
      <w:r w:rsidRPr="00C612C8">
        <w:rPr>
          <w:rStyle w:val="apple-style-span"/>
          <w:color w:val="000000"/>
          <w:shd w:val="clear" w:color="auto" w:fill="FFFFFF"/>
        </w:rPr>
        <w:t>, climate change, agricultural practises, deforestation, physical environment, economic state/urban areas: disaster risk and poverty are closely interlinked (</w:t>
      </w:r>
      <w:proofErr w:type="spellStart"/>
      <w:r w:rsidRPr="00C612C8">
        <w:rPr>
          <w:rStyle w:val="apple-style-span"/>
          <w:color w:val="000000"/>
          <w:shd w:val="clear" w:color="auto" w:fill="FFFFFF"/>
        </w:rPr>
        <w:t>eg</w:t>
      </w:r>
      <w:proofErr w:type="spellEnd"/>
      <w:r w:rsidRPr="00C612C8">
        <w:rPr>
          <w:rStyle w:val="apple-style-span"/>
          <w:color w:val="000000"/>
          <w:shd w:val="clear" w:color="auto" w:fill="FFFFFF"/>
        </w:rPr>
        <w:t>. MEDCs less impact if better prepared/educated than LEDCs)</w:t>
      </w:r>
    </w:p>
    <w:p w:rsidR="00C612C8" w:rsidRPr="007F6731" w:rsidRDefault="004354E0" w:rsidP="00C612C8">
      <w:pPr>
        <w:spacing w:after="0" w:line="240" w:lineRule="auto"/>
        <w:rPr>
          <w:rFonts w:ascii="Arial" w:eastAsia="Times New Roman" w:hAnsi="Arial" w:cs="Arial"/>
          <w:color w:val="000000"/>
          <w:sz w:val="24"/>
          <w:szCs w:val="24"/>
          <w:shd w:val="clear" w:color="auto" w:fill="FFFFFF"/>
          <w:lang w:eastAsia="en-CA"/>
        </w:rPr>
      </w:pPr>
      <w:r w:rsidRPr="0007799C">
        <w:rPr>
          <w:rFonts w:ascii="Arial" w:eastAsia="Times New Roman" w:hAnsi="Arial" w:cs="Arial"/>
          <w:noProof/>
          <w:color w:val="000000"/>
          <w:sz w:val="24"/>
          <w:szCs w:val="24"/>
          <w:u w:val="single"/>
          <w:lang w:eastAsia="en-CA"/>
        </w:rPr>
        <w:pict>
          <v:shape id="_x0000_s1029" type="#_x0000_t202" style="position:absolute;margin-left:298.8pt;margin-top:10.15pt;width:249pt;height:99.25pt;z-index:251661312" strokecolor="white [3212]">
            <v:textbox style="mso-next-textbox:#_x0000_s1029">
              <w:txbxContent>
                <w:p w:rsidR="00C612C8" w:rsidRDefault="00C612C8" w:rsidP="00C612C8">
                  <w:pPr>
                    <w:spacing w:before="100" w:beforeAutospacing="1" w:after="100" w:afterAutospacing="1" w:line="240" w:lineRule="auto"/>
                  </w:pPr>
                  <w:r w:rsidRPr="00C612C8">
                    <w:t xml:space="preserve">Preparation </w:t>
                  </w:r>
                  <w:r w:rsidRPr="00C612C8">
                    <w:br/>
                    <w:t xml:space="preserve">- Targeted to the most vulnerable </w:t>
                  </w:r>
                  <w:r w:rsidRPr="00C612C8">
                    <w:br/>
                    <w:t>- appropriate levels of resources can be commit</w:t>
                  </w:r>
                  <w:r>
                    <w:t>t</w:t>
                  </w:r>
                  <w:r w:rsidRPr="00C612C8">
                    <w:t xml:space="preserve">ed </w:t>
                  </w:r>
                  <w:r w:rsidRPr="00C612C8">
                    <w:br/>
                    <w:t>- education</w:t>
                  </w:r>
                  <w:r w:rsidR="004354E0">
                    <w:t xml:space="preserve"> about risk involved (insurance</w:t>
                  </w:r>
                  <w:proofErr w:type="gramStart"/>
                  <w:r w:rsidR="004354E0">
                    <w:t>)</w:t>
                  </w:r>
                  <w:proofErr w:type="gramEnd"/>
                  <w:r w:rsidRPr="00C612C8">
                    <w:br/>
                    <w:t>- infrastructure can be modified to withstand</w:t>
                  </w:r>
                  <w:r w:rsidR="004354E0">
                    <w:br/>
                    <w:t>- evacuation and security plans</w:t>
                  </w:r>
                  <w:r w:rsidRPr="00C612C8">
                    <w:t xml:space="preserve"> </w:t>
                  </w:r>
                </w:p>
                <w:p w:rsidR="004354E0" w:rsidRPr="00C612C8" w:rsidRDefault="004354E0" w:rsidP="00C612C8">
                  <w:pPr>
                    <w:spacing w:before="100" w:beforeAutospacing="1" w:after="100" w:afterAutospacing="1" w:line="240" w:lineRule="auto"/>
                  </w:pPr>
                </w:p>
              </w:txbxContent>
            </v:textbox>
          </v:shape>
        </w:pict>
      </w:r>
      <w:r w:rsidR="0007799C" w:rsidRPr="0007799C">
        <w:rPr>
          <w:rFonts w:ascii="Arial" w:eastAsia="Times New Roman" w:hAnsi="Arial" w:cs="Arial"/>
          <w:noProof/>
          <w:color w:val="000000"/>
          <w:sz w:val="24"/>
          <w:szCs w:val="24"/>
          <w:u w:val="single"/>
          <w:lang w:eastAsia="en-CA"/>
        </w:rPr>
        <w:pict>
          <v:shape id="_x0000_s1030" type="#_x0000_t202" style="position:absolute;margin-left:-31.2pt;margin-top:26.65pt;width:321.75pt;height:207.75pt;z-index:251662336">
            <v:textbox style="mso-next-textbox:#_x0000_s1030">
              <w:txbxContent>
                <w:p w:rsidR="00C612C8" w:rsidRDefault="00A73C1A">
                  <w:r w:rsidRPr="00C612C8">
                    <w:rPr>
                      <w:rFonts w:ascii="Arial" w:eastAsia="Times New Roman" w:hAnsi="Arial" w:cs="Arial"/>
                      <w:color w:val="000000"/>
                      <w:u w:val="single"/>
                      <w:lang w:eastAsia="en-CA"/>
                    </w:rPr>
                    <w:t>Factors of risk perception</w:t>
                  </w:r>
                  <w:proofErr w:type="gramStart"/>
                  <w:r w:rsidRPr="00C612C8">
                    <w:rPr>
                      <w:rFonts w:ascii="Arial" w:eastAsia="Times New Roman" w:hAnsi="Arial" w:cs="Arial"/>
                      <w:b/>
                      <w:bCs/>
                      <w:color w:val="000000"/>
                      <w:lang w:eastAsia="en-CA"/>
                    </w:rPr>
                    <w:t>:</w:t>
                  </w:r>
                  <w:proofErr w:type="gramEnd"/>
                  <w:r>
                    <w:rPr>
                      <w:rFonts w:ascii="Arial" w:eastAsia="Times New Roman" w:hAnsi="Arial" w:cs="Arial"/>
                      <w:b/>
                      <w:bCs/>
                      <w:color w:val="000000"/>
                      <w:lang w:eastAsia="en-CA"/>
                    </w:rPr>
                    <w:br/>
                  </w:r>
                  <w:r w:rsidR="00C612C8" w:rsidRPr="00C612C8">
                    <w:rPr>
                      <w:rFonts w:ascii="Arial" w:eastAsia="Times New Roman" w:hAnsi="Arial" w:cs="Arial"/>
                      <w:color w:val="000000"/>
                      <w:sz w:val="20"/>
                      <w:lang w:eastAsia="en-CA"/>
                    </w:rPr>
                    <w:t xml:space="preserve">1. </w:t>
                  </w:r>
                  <w:r w:rsidR="00C612C8" w:rsidRPr="00C612C8">
                    <w:rPr>
                      <w:rFonts w:ascii="Arial" w:eastAsia="Times New Roman" w:hAnsi="Arial" w:cs="Arial"/>
                      <w:b/>
                      <w:bCs/>
                      <w:color w:val="000000"/>
                      <w:sz w:val="20"/>
                      <w:lang w:eastAsia="en-CA"/>
                    </w:rPr>
                    <w:t>Degree of control:</w:t>
                  </w:r>
                  <w:r w:rsidR="00C612C8" w:rsidRPr="00C612C8">
                    <w:rPr>
                      <w:rFonts w:ascii="Arial" w:eastAsia="Times New Roman" w:hAnsi="Arial" w:cs="Arial"/>
                      <w:color w:val="000000"/>
                      <w:sz w:val="20"/>
                      <w:lang w:eastAsia="en-CA"/>
                    </w:rPr>
                    <w:t xml:space="preserve"> If there is a degree of control over the risk (ex: water rafting) the perception of the risk decreases. If there is no control (ex: earthquake) the risk perception increases </w:t>
                  </w:r>
                  <w:r w:rsidR="00C612C8" w:rsidRPr="00C612C8">
                    <w:rPr>
                      <w:rFonts w:ascii="Times New Roman" w:eastAsia="Times New Roman" w:hAnsi="Times New Roman" w:cs="Times New Roman"/>
                      <w:color w:val="000000"/>
                      <w:sz w:val="27"/>
                      <w:szCs w:val="27"/>
                      <w:shd w:val="clear" w:color="auto" w:fill="FFFFFF"/>
                      <w:lang w:eastAsia="en-CA"/>
                    </w:rPr>
                    <w:br/>
                  </w:r>
                  <w:r w:rsidR="00C612C8" w:rsidRPr="00C612C8">
                    <w:rPr>
                      <w:rFonts w:ascii="Arial" w:eastAsia="Times New Roman" w:hAnsi="Arial" w:cs="Arial"/>
                      <w:color w:val="000000"/>
                      <w:sz w:val="20"/>
                      <w:lang w:eastAsia="en-CA"/>
                    </w:rPr>
                    <w:t xml:space="preserve">2. </w:t>
                  </w:r>
                  <w:r w:rsidR="00C612C8" w:rsidRPr="00C612C8">
                    <w:rPr>
                      <w:rFonts w:ascii="Arial" w:eastAsia="Times New Roman" w:hAnsi="Arial" w:cs="Arial"/>
                      <w:b/>
                      <w:bCs/>
                      <w:color w:val="000000"/>
                      <w:sz w:val="20"/>
                      <w:lang w:eastAsia="en-CA"/>
                    </w:rPr>
                    <w:t>Understanding of hazard</w:t>
                  </w:r>
                  <w:r w:rsidR="00C612C8" w:rsidRPr="00C612C8">
                    <w:rPr>
                      <w:rFonts w:ascii="Arial" w:eastAsia="Times New Roman" w:hAnsi="Arial" w:cs="Arial"/>
                      <w:color w:val="000000"/>
                      <w:sz w:val="20"/>
                      <w:lang w:eastAsia="en-CA"/>
                    </w:rPr>
                    <w:t>:</w:t>
                  </w:r>
                  <w:r w:rsidR="00C612C8">
                    <w:rPr>
                      <w:rFonts w:ascii="Arial" w:eastAsia="Times New Roman" w:hAnsi="Arial" w:cs="Arial"/>
                      <w:color w:val="000000"/>
                      <w:sz w:val="20"/>
                      <w:lang w:eastAsia="en-CA"/>
                    </w:rPr>
                    <w:t xml:space="preserve"> </w:t>
                  </w:r>
                  <w:r w:rsidR="00C612C8" w:rsidRPr="00C612C8">
                    <w:rPr>
                      <w:rFonts w:ascii="Arial" w:eastAsia="Times New Roman" w:hAnsi="Arial" w:cs="Arial"/>
                      <w:color w:val="000000"/>
                      <w:sz w:val="20"/>
                      <w:lang w:eastAsia="en-CA"/>
                    </w:rPr>
                    <w:t xml:space="preserve">understanding why the hazard happens (ex: hurricanes) gives a lower risk perception than not understanding it (ex: nuclear/chemical accidents) </w:t>
                  </w:r>
                  <w:r w:rsidR="00C612C8" w:rsidRPr="00C612C8">
                    <w:rPr>
                      <w:rFonts w:ascii="Times New Roman" w:eastAsia="Times New Roman" w:hAnsi="Times New Roman" w:cs="Times New Roman"/>
                      <w:color w:val="000000"/>
                      <w:sz w:val="27"/>
                      <w:szCs w:val="27"/>
                      <w:shd w:val="clear" w:color="auto" w:fill="FFFFFF"/>
                      <w:lang w:eastAsia="en-CA"/>
                    </w:rPr>
                    <w:br/>
                  </w:r>
                  <w:r w:rsidR="00C612C8" w:rsidRPr="00C612C8">
                    <w:rPr>
                      <w:rFonts w:ascii="Arial" w:eastAsia="Times New Roman" w:hAnsi="Arial" w:cs="Arial"/>
                      <w:color w:val="000000"/>
                      <w:sz w:val="20"/>
                      <w:lang w:eastAsia="en-CA"/>
                    </w:rPr>
                    <w:t>3.</w:t>
                  </w:r>
                  <w:r w:rsidR="00C612C8" w:rsidRPr="00C612C8">
                    <w:rPr>
                      <w:rFonts w:ascii="Arial" w:eastAsia="Times New Roman" w:hAnsi="Arial" w:cs="Arial"/>
                      <w:b/>
                      <w:bCs/>
                      <w:color w:val="000000"/>
                      <w:sz w:val="20"/>
                      <w:lang w:eastAsia="en-CA"/>
                    </w:rPr>
                    <w:t xml:space="preserve"> Loss of life</w:t>
                  </w:r>
                  <w:r w:rsidR="00C612C8" w:rsidRPr="00C612C8">
                    <w:rPr>
                      <w:rFonts w:ascii="Arial" w:eastAsia="Times New Roman" w:hAnsi="Arial" w:cs="Arial"/>
                      <w:color w:val="000000"/>
                      <w:sz w:val="20"/>
                      <w:lang w:eastAsia="en-CA"/>
                    </w:rPr>
                    <w:t xml:space="preserve">: the higher the number of fatalities the higher the risk perception (ex: Asian Tsunami 2004) compared to low fatality events (floods/eruptions) </w:t>
                  </w:r>
                  <w:r w:rsidR="00C612C8" w:rsidRPr="00C612C8">
                    <w:rPr>
                      <w:rFonts w:ascii="Times New Roman" w:eastAsia="Times New Roman" w:hAnsi="Times New Roman" w:cs="Times New Roman"/>
                      <w:color w:val="000000"/>
                      <w:sz w:val="27"/>
                      <w:szCs w:val="27"/>
                      <w:shd w:val="clear" w:color="auto" w:fill="FFFFFF"/>
                      <w:lang w:eastAsia="en-CA"/>
                    </w:rPr>
                    <w:br/>
                  </w:r>
                  <w:r w:rsidR="00C612C8" w:rsidRPr="00C612C8">
                    <w:rPr>
                      <w:rFonts w:ascii="Arial" w:eastAsia="Times New Roman" w:hAnsi="Arial" w:cs="Arial"/>
                      <w:color w:val="000000"/>
                      <w:sz w:val="20"/>
                      <w:lang w:eastAsia="en-CA"/>
                    </w:rPr>
                    <w:t xml:space="preserve">4. </w:t>
                  </w:r>
                  <w:r w:rsidR="00C612C8" w:rsidRPr="00C612C8">
                    <w:rPr>
                      <w:rFonts w:ascii="Arial" w:eastAsia="Times New Roman" w:hAnsi="Arial" w:cs="Arial"/>
                      <w:b/>
                      <w:bCs/>
                      <w:color w:val="000000"/>
                      <w:sz w:val="20"/>
                      <w:lang w:eastAsia="en-CA"/>
                    </w:rPr>
                    <w:t xml:space="preserve">Media Coverage: </w:t>
                  </w:r>
                  <w:r w:rsidR="00C612C8" w:rsidRPr="00C612C8">
                    <w:rPr>
                      <w:rFonts w:ascii="Arial" w:eastAsia="Times New Roman" w:hAnsi="Arial" w:cs="Arial"/>
                      <w:color w:val="000000"/>
                      <w:sz w:val="20"/>
                      <w:lang w:eastAsia="en-CA"/>
                    </w:rPr>
                    <w:t xml:space="preserve">High media coverage increases risk perception (Japan tsunami 2011) </w:t>
                  </w:r>
                  <w:r w:rsidR="00C612C8" w:rsidRPr="00C612C8">
                    <w:rPr>
                      <w:rFonts w:ascii="Times New Roman" w:eastAsia="Times New Roman" w:hAnsi="Times New Roman" w:cs="Times New Roman"/>
                      <w:color w:val="000000"/>
                      <w:sz w:val="27"/>
                      <w:szCs w:val="27"/>
                      <w:shd w:val="clear" w:color="auto" w:fill="FFFFFF"/>
                      <w:lang w:eastAsia="en-CA"/>
                    </w:rPr>
                    <w:br/>
                  </w:r>
                  <w:r w:rsidR="00C612C8" w:rsidRPr="00C612C8">
                    <w:rPr>
                      <w:rFonts w:ascii="Arial" w:eastAsia="Times New Roman" w:hAnsi="Arial" w:cs="Arial"/>
                      <w:color w:val="000000"/>
                      <w:sz w:val="20"/>
                      <w:lang w:eastAsia="en-CA"/>
                    </w:rPr>
                    <w:t xml:space="preserve">5. </w:t>
                  </w:r>
                  <w:r w:rsidR="00C612C8" w:rsidRPr="00C612C8">
                    <w:rPr>
                      <w:rFonts w:ascii="Arial" w:eastAsia="Times New Roman" w:hAnsi="Arial" w:cs="Arial"/>
                      <w:b/>
                      <w:bCs/>
                      <w:color w:val="000000"/>
                      <w:sz w:val="20"/>
                      <w:lang w:eastAsia="en-CA"/>
                    </w:rPr>
                    <w:t xml:space="preserve">Frequency of onset: </w:t>
                  </w:r>
                  <w:r w:rsidR="00C612C8" w:rsidRPr="00C612C8">
                    <w:rPr>
                      <w:rFonts w:ascii="Arial" w:eastAsia="Times New Roman" w:hAnsi="Arial" w:cs="Arial"/>
                      <w:color w:val="000000"/>
                      <w:sz w:val="20"/>
                      <w:lang w:eastAsia="en-CA"/>
                    </w:rPr>
                    <w:t>Disasters with immediate effects (earthquakes/tsunamis) increase risk perception whereas slow ones (droughts) reduce it.</w:t>
                  </w:r>
                </w:p>
              </w:txbxContent>
            </v:textbox>
          </v:shape>
        </w:pict>
      </w:r>
      <w:r w:rsidR="00A73C1A" w:rsidRPr="007F6731">
        <w:rPr>
          <w:rFonts w:ascii="Arial" w:eastAsia="Times New Roman" w:hAnsi="Arial" w:cs="Arial"/>
          <w:color w:val="000000"/>
          <w:sz w:val="24"/>
          <w:szCs w:val="24"/>
          <w:u w:val="single"/>
          <w:lang w:eastAsia="en-CA"/>
        </w:rPr>
        <w:t>Analysis of risk</w:t>
      </w:r>
      <w:r w:rsidR="00C612C8" w:rsidRPr="007F6731">
        <w:rPr>
          <w:rFonts w:ascii="Times New Roman" w:eastAsia="Times New Roman" w:hAnsi="Times New Roman" w:cs="Times New Roman"/>
          <w:color w:val="000000"/>
          <w:sz w:val="24"/>
          <w:szCs w:val="24"/>
          <w:shd w:val="clear" w:color="auto" w:fill="FFFFFF"/>
          <w:lang w:eastAsia="en-CA"/>
        </w:rPr>
        <w:br/>
      </w:r>
      <w:r w:rsidR="00C612C8" w:rsidRPr="007F6731">
        <w:rPr>
          <w:rFonts w:ascii="Times New Roman" w:eastAsia="Times New Roman" w:hAnsi="Times New Roman" w:cs="Times New Roman"/>
          <w:color w:val="000000"/>
          <w:sz w:val="24"/>
          <w:szCs w:val="24"/>
          <w:shd w:val="clear" w:color="auto" w:fill="FFFFFF"/>
          <w:lang w:eastAsia="en-CA"/>
        </w:rPr>
        <w:br/>
      </w:r>
    </w:p>
    <w:p w:rsidR="00786C10" w:rsidRDefault="00C612C8" w:rsidP="00D8013B">
      <w:pPr>
        <w:spacing w:before="100" w:beforeAutospacing="1" w:after="100" w:afterAutospacing="1" w:line="240" w:lineRule="auto"/>
      </w:pPr>
      <w:r>
        <w:tab/>
      </w:r>
      <w:r>
        <w:tab/>
      </w:r>
      <w:r>
        <w:tab/>
      </w:r>
      <w:r>
        <w:tab/>
      </w:r>
      <w:r>
        <w:tab/>
      </w:r>
      <w:r>
        <w:tab/>
      </w:r>
      <w:r>
        <w:tab/>
      </w:r>
      <w:r>
        <w:tab/>
      </w:r>
      <w:r>
        <w:tab/>
      </w:r>
    </w:p>
    <w:p w:rsidR="00C612C8" w:rsidRDefault="0007799C" w:rsidP="00D8013B">
      <w:pPr>
        <w:spacing w:before="100" w:beforeAutospacing="1" w:after="100" w:afterAutospacing="1" w:line="240" w:lineRule="auto"/>
      </w:pPr>
      <w:r>
        <w:rPr>
          <w:noProof/>
          <w:lang w:eastAsia="en-CA"/>
        </w:rPr>
        <w:pict>
          <v:shape id="_x0000_s1031" type="#_x0000_t202" style="position:absolute;margin-left:298.8pt;margin-top:19.55pt;width:242.25pt;height:157.5pt;z-index:251663360" strokecolor="white [3212]">
            <v:textbox style="mso-next-textbox:#_x0000_s1031">
              <w:txbxContent>
                <w:p w:rsidR="00791C4B" w:rsidRPr="00C612C8" w:rsidRDefault="00C612C8" w:rsidP="00C612C8">
                  <w:pPr>
                    <w:spacing w:before="100" w:beforeAutospacing="1" w:after="100" w:afterAutospacing="1" w:line="240" w:lineRule="auto"/>
                  </w:pPr>
                  <w:r w:rsidRPr="00C612C8">
                    <w:rPr>
                      <w:sz w:val="24"/>
                      <w:szCs w:val="24"/>
                      <w:u w:val="single"/>
                    </w:rPr>
                    <w:t>Hazard event prediction</w:t>
                  </w:r>
                  <w:r w:rsidRPr="00C612C8">
                    <w:t xml:space="preserve"> </w:t>
                  </w:r>
                  <w:r w:rsidRPr="00C612C8">
                    <w:br/>
                    <w:t>Earthquakes: Seismologists do monitor rock movements around fault lines to gauge where pressure is building up. However there are no reliable methods of longer rage predictions.</w:t>
                  </w:r>
                  <w:r w:rsidRPr="00C612C8">
                    <w:br/>
                    <w:t>Hurricane: Forec</w:t>
                  </w:r>
                  <w:r w:rsidR="00791C4B">
                    <w:t>ast seasons and predict its path, previous event patterns for new occurrences, develop and test models</w:t>
                  </w:r>
                  <w:r w:rsidR="00791C4B">
                    <w:br/>
                    <w:t>Volcanoes: ground deformation, seismic activity, gas emissions, sp</w:t>
                  </w:r>
                  <w:r w:rsidR="00E4233E">
                    <w:t xml:space="preserve">ectrometers and </w:t>
                  </w:r>
                  <w:r w:rsidR="00791C4B">
                    <w:t>observations</w:t>
                  </w:r>
                  <w:r w:rsidR="00E4233E">
                    <w:t>.</w:t>
                  </w:r>
                  <w:r w:rsidR="00791C4B">
                    <w:t xml:space="preserve"> </w:t>
                  </w:r>
                </w:p>
                <w:p w:rsidR="00C612C8" w:rsidRDefault="00C612C8"/>
              </w:txbxContent>
            </v:textbox>
          </v:shape>
        </w:pict>
      </w:r>
    </w:p>
    <w:p w:rsidR="00C612C8" w:rsidRDefault="00C612C8" w:rsidP="00D8013B">
      <w:pPr>
        <w:spacing w:before="100" w:beforeAutospacing="1" w:after="100" w:afterAutospacing="1" w:line="240" w:lineRule="auto"/>
      </w:pPr>
    </w:p>
    <w:p w:rsidR="00C612C8" w:rsidRDefault="00C612C8" w:rsidP="00C612C8">
      <w:pPr>
        <w:spacing w:before="100" w:beforeAutospacing="1" w:after="100" w:afterAutospacing="1" w:line="240" w:lineRule="auto"/>
      </w:pPr>
      <w:r>
        <w:tab/>
      </w:r>
      <w:r>
        <w:tab/>
      </w:r>
      <w:r>
        <w:tab/>
      </w:r>
      <w:r>
        <w:tab/>
      </w:r>
      <w:r>
        <w:tab/>
      </w:r>
      <w:r>
        <w:tab/>
      </w:r>
      <w:r>
        <w:tab/>
      </w:r>
      <w:r>
        <w:tab/>
      </w:r>
      <w:r>
        <w:tab/>
      </w:r>
    </w:p>
    <w:p w:rsidR="00C612C8" w:rsidRDefault="00C612C8" w:rsidP="00D8013B">
      <w:pPr>
        <w:spacing w:before="100" w:beforeAutospacing="1" w:after="100" w:afterAutospacing="1" w:line="240" w:lineRule="auto"/>
      </w:pPr>
    </w:p>
    <w:p w:rsidR="00A73C1A" w:rsidRDefault="00A73C1A" w:rsidP="00D8013B">
      <w:pPr>
        <w:spacing w:before="100" w:beforeAutospacing="1" w:after="100" w:afterAutospacing="1" w:line="240" w:lineRule="auto"/>
      </w:pPr>
    </w:p>
    <w:p w:rsidR="007F6731" w:rsidRPr="00821DD3" w:rsidRDefault="007F6731" w:rsidP="00A73C1A">
      <w:pPr>
        <w:rPr>
          <w:b/>
          <w:lang w:val="en-US"/>
        </w:rPr>
      </w:pPr>
      <w:r w:rsidRPr="00821DD3">
        <w:rPr>
          <w:b/>
          <w:lang w:val="en-US"/>
        </w:rPr>
        <w:lastRenderedPageBreak/>
        <w:t>Vulnerability:</w:t>
      </w:r>
    </w:p>
    <w:p w:rsidR="00A73C1A" w:rsidRDefault="00A73C1A" w:rsidP="00A73C1A">
      <w:pPr>
        <w:rPr>
          <w:lang w:val="en-US"/>
        </w:rPr>
      </w:pPr>
      <w:r w:rsidRPr="00C42508">
        <w:rPr>
          <w:b/>
          <w:u w:val="single"/>
          <w:lang w:val="en-US"/>
        </w:rPr>
        <w:t>Vulnerable Populations:</w:t>
      </w:r>
      <w:r>
        <w:rPr>
          <w:lang w:val="en-US"/>
        </w:rPr>
        <w:t xml:space="preserve"> Explain the reasons why people live in hazardous areas. </w:t>
      </w:r>
    </w:p>
    <w:p w:rsidR="00A73C1A" w:rsidRDefault="00A73C1A" w:rsidP="00A73C1A">
      <w:pPr>
        <w:rPr>
          <w:lang w:val="en-US"/>
        </w:rPr>
      </w:pPr>
      <w:r>
        <w:rPr>
          <w:lang w:val="en-US"/>
        </w:rPr>
        <w:t>People may live in hazardous areas due to the benefits that these lands may provide for example:</w:t>
      </w:r>
    </w:p>
    <w:p w:rsidR="00A73C1A" w:rsidRDefault="00A73C1A" w:rsidP="00A73C1A">
      <w:pPr>
        <w:pStyle w:val="ListParagraph"/>
        <w:numPr>
          <w:ilvl w:val="0"/>
          <w:numId w:val="6"/>
        </w:numPr>
        <w:rPr>
          <w:lang w:val="en-US"/>
        </w:rPr>
      </w:pPr>
      <w:r>
        <w:rPr>
          <w:lang w:val="en-US"/>
        </w:rPr>
        <w:t xml:space="preserve">People may live near a volcano due to the rich soil that can be used for farming, the hot springs and the lava may attract many tourists, scientists may do research and monitoring, many locals are unaware of the risks, there may be some land shortages that may force people to live near these areas, and some other people may be aware of the risk but prefer the benefits and the attractions the location provides. These benefits also apply to locations that may be vulnerable to hurricanes, earthquakes. </w:t>
      </w:r>
    </w:p>
    <w:p w:rsidR="00A73C1A" w:rsidRPr="000A5D58" w:rsidRDefault="00A73C1A" w:rsidP="00A73C1A">
      <w:pPr>
        <w:pStyle w:val="ListParagraph"/>
        <w:rPr>
          <w:lang w:val="en-US"/>
        </w:rPr>
      </w:pPr>
    </w:p>
    <w:p w:rsidR="00A73C1A" w:rsidRDefault="00A73C1A" w:rsidP="00A73C1A">
      <w:pPr>
        <w:rPr>
          <w:lang w:val="en-US"/>
        </w:rPr>
      </w:pPr>
      <w:r w:rsidRPr="00C42508">
        <w:rPr>
          <w:b/>
          <w:u w:val="single"/>
          <w:lang w:val="en-US"/>
        </w:rPr>
        <w:t>Vulnerability:</w:t>
      </w:r>
      <w:r>
        <w:rPr>
          <w:lang w:val="en-US"/>
        </w:rPr>
        <w:t xml:space="preserve"> Susceptible</w:t>
      </w:r>
      <w:bookmarkStart w:id="0" w:name="_GoBack"/>
      <w:bookmarkEnd w:id="0"/>
      <w:r>
        <w:rPr>
          <w:lang w:val="en-US"/>
        </w:rPr>
        <w:t xml:space="preserve"> to physical or emotional injury. </w:t>
      </w:r>
    </w:p>
    <w:p w:rsidR="00A73C1A" w:rsidRDefault="00A73C1A" w:rsidP="00A73C1A">
      <w:pPr>
        <w:rPr>
          <w:lang w:val="en-US"/>
        </w:rPr>
      </w:pPr>
      <w:r>
        <w:rPr>
          <w:lang w:val="en-US"/>
        </w:rPr>
        <w:t xml:space="preserve">Discuss the vulnerability as a function of demographic and socio-economic factors, and of a community’s preparedness and ability to deal with a hazard event when it occurs. Explain the reasons for some sectors of a population being more vulnerable than others. </w:t>
      </w:r>
    </w:p>
    <w:p w:rsidR="00A73C1A" w:rsidRDefault="00A73C1A" w:rsidP="00A73C1A">
      <w:pPr>
        <w:pStyle w:val="ListParagraph"/>
        <w:numPr>
          <w:ilvl w:val="0"/>
          <w:numId w:val="6"/>
        </w:numPr>
        <w:rPr>
          <w:lang w:val="en-US"/>
        </w:rPr>
      </w:pPr>
      <w:r>
        <w:rPr>
          <w:lang w:val="en-US"/>
        </w:rPr>
        <w:t xml:space="preserve">Economic reasons: the country may not have enough income that may suffice the damage created by hazards. </w:t>
      </w:r>
    </w:p>
    <w:p w:rsidR="00A73C1A" w:rsidRDefault="00A73C1A" w:rsidP="00A73C1A">
      <w:pPr>
        <w:pStyle w:val="ListParagraph"/>
        <w:numPr>
          <w:ilvl w:val="0"/>
          <w:numId w:val="6"/>
        </w:numPr>
        <w:rPr>
          <w:lang w:val="en-US"/>
        </w:rPr>
      </w:pPr>
      <w:r>
        <w:rPr>
          <w:lang w:val="en-US"/>
        </w:rPr>
        <w:t xml:space="preserve">Social reasons: people may not be educated or prepared for a disaster; therefore the risks are higher because they are not aware of the risks they have to prevent from. </w:t>
      </w:r>
    </w:p>
    <w:p w:rsidR="00A73C1A" w:rsidRPr="00DD70F2" w:rsidRDefault="00A73C1A" w:rsidP="00A73C1A">
      <w:pPr>
        <w:pStyle w:val="ListParagraph"/>
        <w:numPr>
          <w:ilvl w:val="0"/>
          <w:numId w:val="6"/>
        </w:numPr>
        <w:rPr>
          <w:lang w:val="en-US"/>
        </w:rPr>
      </w:pPr>
      <w:r>
        <w:rPr>
          <w:lang w:val="en-US"/>
        </w:rPr>
        <w:t xml:space="preserve">People from LEDC’s countries are more vulnerable to hazards because they don’t have the infrastructure, or the preparedness as the MEDC’s that can afford quality infrastructure and aid as soon as the hazard occurs. </w:t>
      </w:r>
    </w:p>
    <w:p w:rsidR="00A73C1A" w:rsidRPr="00A73C1A" w:rsidRDefault="00A73C1A" w:rsidP="00D8013B">
      <w:pPr>
        <w:spacing w:before="100" w:beforeAutospacing="1" w:after="100" w:afterAutospacing="1" w:line="240" w:lineRule="auto"/>
        <w:rPr>
          <w:lang w:val="en-US"/>
        </w:rPr>
      </w:pPr>
    </w:p>
    <w:sectPr w:rsidR="00A73C1A" w:rsidRPr="00A73C1A" w:rsidSect="00C612C8">
      <w:pgSz w:w="12240" w:h="15840"/>
      <w:pgMar w:top="709" w:right="1041" w:bottom="144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yriadPro-Regular">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83202"/>
    <w:multiLevelType w:val="hybridMultilevel"/>
    <w:tmpl w:val="621E7A5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3E4B0ED5"/>
    <w:multiLevelType w:val="hybridMultilevel"/>
    <w:tmpl w:val="038AFF1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nsid w:val="40832C7E"/>
    <w:multiLevelType w:val="hybridMultilevel"/>
    <w:tmpl w:val="9A4029C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5AD44C9B"/>
    <w:multiLevelType w:val="hybridMultilevel"/>
    <w:tmpl w:val="1BC477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5B9D69FD"/>
    <w:multiLevelType w:val="multilevel"/>
    <w:tmpl w:val="C6F2C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6B7A67"/>
    <w:multiLevelType w:val="hybridMultilevel"/>
    <w:tmpl w:val="3FDEAECA"/>
    <w:lvl w:ilvl="0" w:tplc="33328FF6">
      <w:start w:val="4"/>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F0663"/>
    <w:rsid w:val="0007799C"/>
    <w:rsid w:val="001A69C0"/>
    <w:rsid w:val="001E1457"/>
    <w:rsid w:val="002512AA"/>
    <w:rsid w:val="0029778A"/>
    <w:rsid w:val="002F2A3D"/>
    <w:rsid w:val="003176F7"/>
    <w:rsid w:val="004354E0"/>
    <w:rsid w:val="0049424A"/>
    <w:rsid w:val="004F0663"/>
    <w:rsid w:val="005112F2"/>
    <w:rsid w:val="005972CB"/>
    <w:rsid w:val="006A04EE"/>
    <w:rsid w:val="007606AB"/>
    <w:rsid w:val="00786C10"/>
    <w:rsid w:val="00791C4B"/>
    <w:rsid w:val="007F6731"/>
    <w:rsid w:val="00821DD3"/>
    <w:rsid w:val="008A5239"/>
    <w:rsid w:val="0093331A"/>
    <w:rsid w:val="00A73C1A"/>
    <w:rsid w:val="00B001D1"/>
    <w:rsid w:val="00C0733C"/>
    <w:rsid w:val="00C612C8"/>
    <w:rsid w:val="00CB4586"/>
    <w:rsid w:val="00CC7422"/>
    <w:rsid w:val="00D8013B"/>
    <w:rsid w:val="00D826E4"/>
    <w:rsid w:val="00DA3A21"/>
    <w:rsid w:val="00E20007"/>
    <w:rsid w:val="00E4233E"/>
    <w:rsid w:val="00F1031A"/>
    <w:rsid w:val="00F50FAB"/>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4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663"/>
    <w:pPr>
      <w:ind w:left="720"/>
      <w:contextualSpacing/>
    </w:pPr>
  </w:style>
  <w:style w:type="character" w:customStyle="1" w:styleId="apple-style-span">
    <w:name w:val="apple-style-span"/>
    <w:basedOn w:val="DefaultParagraphFont"/>
    <w:rsid w:val="003176F7"/>
  </w:style>
  <w:style w:type="paragraph" w:styleId="BalloonText">
    <w:name w:val="Balloon Text"/>
    <w:basedOn w:val="Normal"/>
    <w:link w:val="BalloonTextChar"/>
    <w:uiPriority w:val="99"/>
    <w:semiHidden/>
    <w:unhideWhenUsed/>
    <w:rsid w:val="001A69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9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544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19E60D3-929C-4B07-8DEE-06B0ACAAA17E}"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CA"/>
        </a:p>
      </dgm:t>
    </dgm:pt>
    <dgm:pt modelId="{D174C484-4FEC-4417-ACC9-CBEBBDCFE7FC}">
      <dgm:prSet phldrT="[Text]" custT="1"/>
      <dgm:spPr/>
      <dgm:t>
        <a:bodyPr/>
        <a:lstStyle/>
        <a:p>
          <a:r>
            <a:rPr lang="en-CA" sz="1200"/>
            <a:t>Measuring disasters</a:t>
          </a:r>
        </a:p>
      </dgm:t>
    </dgm:pt>
    <dgm:pt modelId="{D94695E5-11D3-4653-A7EB-F275F8C24792}" type="parTrans" cxnId="{3B00315E-069E-4318-BD55-1D4498392388}">
      <dgm:prSet/>
      <dgm:spPr/>
      <dgm:t>
        <a:bodyPr/>
        <a:lstStyle/>
        <a:p>
          <a:endParaRPr lang="en-CA"/>
        </a:p>
      </dgm:t>
    </dgm:pt>
    <dgm:pt modelId="{47C5F02B-24D9-4F1D-867D-FB7EBB794936}" type="sibTrans" cxnId="{3B00315E-069E-4318-BD55-1D4498392388}">
      <dgm:prSet/>
      <dgm:spPr/>
      <dgm:t>
        <a:bodyPr/>
        <a:lstStyle/>
        <a:p>
          <a:endParaRPr lang="en-CA"/>
        </a:p>
      </dgm:t>
    </dgm:pt>
    <dgm:pt modelId="{DDEB9FDB-A9E7-46A4-BB05-3B9AA09593E1}">
      <dgm:prSet phldrT="[Text]" custT="1"/>
      <dgm:spPr/>
      <dgm:t>
        <a:bodyPr/>
        <a:lstStyle/>
        <a:p>
          <a:r>
            <a:rPr lang="en-CA" sz="1300"/>
            <a:t/>
          </a:r>
          <a:br>
            <a:rPr lang="en-CA" sz="1300"/>
          </a:br>
          <a:r>
            <a:rPr lang="en-CA" sz="1200"/>
            <a:t>Develop/test models</a:t>
          </a:r>
          <a:r>
            <a:rPr lang="en-CA" sz="1300"/>
            <a:t/>
          </a:r>
          <a:br>
            <a:rPr lang="en-CA" sz="1300"/>
          </a:br>
          <a:endParaRPr lang="en-CA" sz="1300"/>
        </a:p>
      </dgm:t>
    </dgm:pt>
    <dgm:pt modelId="{CE92B8A9-80C8-49B9-980F-9BDF7A516C3F}" type="parTrans" cxnId="{4BF84756-82A9-4487-9D0D-7FF3CFA50D1C}">
      <dgm:prSet/>
      <dgm:spPr/>
      <dgm:t>
        <a:bodyPr/>
        <a:lstStyle/>
        <a:p>
          <a:endParaRPr lang="en-CA"/>
        </a:p>
      </dgm:t>
    </dgm:pt>
    <dgm:pt modelId="{F0B056D2-FC3E-43FF-A775-AA311B6960FC}" type="sibTrans" cxnId="{4BF84756-82A9-4487-9D0D-7FF3CFA50D1C}">
      <dgm:prSet/>
      <dgm:spPr/>
      <dgm:t>
        <a:bodyPr/>
        <a:lstStyle/>
        <a:p>
          <a:endParaRPr lang="en-CA"/>
        </a:p>
      </dgm:t>
    </dgm:pt>
    <dgm:pt modelId="{88B8AD42-C1E1-40A6-AC79-A813101A4DA5}">
      <dgm:prSet phldrT="[Text]" custT="1"/>
      <dgm:spPr/>
      <dgm:t>
        <a:bodyPr/>
        <a:lstStyle/>
        <a:p>
          <a:r>
            <a:rPr lang="en-CA" sz="1200"/>
            <a:t/>
          </a:r>
          <a:br>
            <a:rPr lang="en-CA" sz="1200"/>
          </a:br>
          <a:r>
            <a:rPr lang="en-CA" sz="1200"/>
            <a:t>Monitoring</a:t>
          </a:r>
          <a:br>
            <a:rPr lang="en-CA" sz="1200"/>
          </a:br>
          <a:r>
            <a:rPr lang="en-CA" sz="1200"/>
            <a:t>Warnings</a:t>
          </a:r>
          <a:br>
            <a:rPr lang="en-CA" sz="1200"/>
          </a:br>
          <a:r>
            <a:rPr lang="en-CA" sz="1200"/>
            <a:t>Preparing</a:t>
          </a:r>
          <a:br>
            <a:rPr lang="en-CA" sz="1200"/>
          </a:br>
          <a:r>
            <a:rPr lang="en-CA" sz="1200"/>
            <a:t>Evacuations</a:t>
          </a:r>
          <a:r>
            <a:rPr lang="en-CA" sz="1100"/>
            <a:t/>
          </a:r>
          <a:br>
            <a:rPr lang="en-CA" sz="1100"/>
          </a:br>
          <a:endParaRPr lang="en-CA" sz="1100"/>
        </a:p>
      </dgm:t>
    </dgm:pt>
    <dgm:pt modelId="{35B39FC3-965C-4785-B3D2-7DF151F64FC8}" type="parTrans" cxnId="{B9440CE1-D934-4AE3-ABF8-CB401168E264}">
      <dgm:prSet/>
      <dgm:spPr/>
      <dgm:t>
        <a:bodyPr/>
        <a:lstStyle/>
        <a:p>
          <a:endParaRPr lang="en-CA"/>
        </a:p>
      </dgm:t>
    </dgm:pt>
    <dgm:pt modelId="{37D3BA93-A185-453F-8AFD-D6E96D1BF97C}" type="sibTrans" cxnId="{B9440CE1-D934-4AE3-ABF8-CB401168E264}">
      <dgm:prSet/>
      <dgm:spPr/>
      <dgm:t>
        <a:bodyPr/>
        <a:lstStyle/>
        <a:p>
          <a:endParaRPr lang="en-CA"/>
        </a:p>
      </dgm:t>
    </dgm:pt>
    <dgm:pt modelId="{709E7E20-530C-4BD9-83A7-DD585A4ED6B5}">
      <dgm:prSet phldrT="[Text]" custT="1"/>
      <dgm:spPr/>
      <dgm:t>
        <a:bodyPr/>
        <a:lstStyle/>
        <a:p>
          <a:r>
            <a:rPr lang="en-CA" sz="1200"/>
            <a:t>Patterns of new ocurrences </a:t>
          </a:r>
        </a:p>
      </dgm:t>
    </dgm:pt>
    <dgm:pt modelId="{496E775B-93CB-4A16-8795-24D8B75D86EE}" type="parTrans" cxnId="{C2CDF733-2435-44D3-9524-7E4A427C7E13}">
      <dgm:prSet/>
      <dgm:spPr/>
      <dgm:t>
        <a:bodyPr/>
        <a:lstStyle/>
        <a:p>
          <a:endParaRPr lang="en-CA"/>
        </a:p>
      </dgm:t>
    </dgm:pt>
    <dgm:pt modelId="{EADF09AE-0760-4C1B-A83B-FD6B2B751463}" type="sibTrans" cxnId="{C2CDF733-2435-44D3-9524-7E4A427C7E13}">
      <dgm:prSet/>
      <dgm:spPr/>
      <dgm:t>
        <a:bodyPr/>
        <a:lstStyle/>
        <a:p>
          <a:endParaRPr lang="en-CA"/>
        </a:p>
      </dgm:t>
    </dgm:pt>
    <dgm:pt modelId="{4E40CDC3-3646-46E4-AD57-0599661AA7C4}">
      <dgm:prSet/>
      <dgm:spPr/>
      <dgm:t>
        <a:bodyPr/>
        <a:lstStyle/>
        <a:p>
          <a:endParaRPr lang="en-CA"/>
        </a:p>
      </dgm:t>
    </dgm:pt>
    <dgm:pt modelId="{ECF56845-70E3-44B9-AA57-85BB28D29DAD}" type="parTrans" cxnId="{D5EEC1A4-541F-491E-833E-B57A2F839379}">
      <dgm:prSet/>
      <dgm:spPr/>
      <dgm:t>
        <a:bodyPr/>
        <a:lstStyle/>
        <a:p>
          <a:endParaRPr lang="en-CA"/>
        </a:p>
      </dgm:t>
    </dgm:pt>
    <dgm:pt modelId="{E85C858E-5071-4212-9882-345BAF62C746}" type="sibTrans" cxnId="{D5EEC1A4-541F-491E-833E-B57A2F839379}">
      <dgm:prSet/>
      <dgm:spPr/>
      <dgm:t>
        <a:bodyPr/>
        <a:lstStyle/>
        <a:p>
          <a:endParaRPr lang="en-CA"/>
        </a:p>
      </dgm:t>
    </dgm:pt>
    <dgm:pt modelId="{D5A75AC3-CB09-4ADD-91D6-9AA9460AB8BB}">
      <dgm:prSet/>
      <dgm:spPr/>
      <dgm:t>
        <a:bodyPr/>
        <a:lstStyle/>
        <a:p>
          <a:endParaRPr lang="en-CA"/>
        </a:p>
      </dgm:t>
    </dgm:pt>
    <dgm:pt modelId="{14B77533-22B1-4598-B2D6-73CAEAAF0B18}" type="parTrans" cxnId="{DECAC7A4-3DB0-4164-8173-D8DA845CD5F5}">
      <dgm:prSet/>
      <dgm:spPr/>
      <dgm:t>
        <a:bodyPr/>
        <a:lstStyle/>
        <a:p>
          <a:endParaRPr lang="en-CA"/>
        </a:p>
      </dgm:t>
    </dgm:pt>
    <dgm:pt modelId="{0E81E42F-DABB-4D76-861D-97F5716D0EDA}" type="sibTrans" cxnId="{DECAC7A4-3DB0-4164-8173-D8DA845CD5F5}">
      <dgm:prSet/>
      <dgm:spPr/>
      <dgm:t>
        <a:bodyPr/>
        <a:lstStyle/>
        <a:p>
          <a:endParaRPr lang="en-CA"/>
        </a:p>
      </dgm:t>
    </dgm:pt>
    <dgm:pt modelId="{15E0E901-2828-4CB6-AEA6-313B32228554}">
      <dgm:prSet/>
      <dgm:spPr/>
      <dgm:t>
        <a:bodyPr/>
        <a:lstStyle/>
        <a:p>
          <a:endParaRPr lang="en-CA"/>
        </a:p>
      </dgm:t>
    </dgm:pt>
    <dgm:pt modelId="{8BABFA98-E606-4DC2-8A5C-13F88614707B}" type="parTrans" cxnId="{D76C51D9-6761-4C9C-9979-D344B876F819}">
      <dgm:prSet/>
      <dgm:spPr/>
      <dgm:t>
        <a:bodyPr/>
        <a:lstStyle/>
        <a:p>
          <a:endParaRPr lang="en-CA"/>
        </a:p>
      </dgm:t>
    </dgm:pt>
    <dgm:pt modelId="{E779F97C-B66A-4065-A764-FF214003B7DB}" type="sibTrans" cxnId="{D76C51D9-6761-4C9C-9979-D344B876F819}">
      <dgm:prSet/>
      <dgm:spPr/>
      <dgm:t>
        <a:bodyPr/>
        <a:lstStyle/>
        <a:p>
          <a:endParaRPr lang="en-CA"/>
        </a:p>
      </dgm:t>
    </dgm:pt>
    <dgm:pt modelId="{1D8F6BEE-6C61-4BF1-9782-BF20C4DE41B6}">
      <dgm:prSet custT="1"/>
      <dgm:spPr/>
      <dgm:t>
        <a:bodyPr/>
        <a:lstStyle/>
        <a:p>
          <a:pPr algn="l"/>
          <a:r>
            <a:rPr lang="en-CA" sz="1200"/>
            <a:t>Predictions based on </a:t>
          </a:r>
          <a:br>
            <a:rPr lang="en-CA" sz="1200"/>
          </a:br>
          <a:r>
            <a:rPr lang="en-CA" sz="1200"/>
            <a:t>- ground deformation</a:t>
          </a:r>
          <a:br>
            <a:rPr lang="en-CA" sz="1200"/>
          </a:br>
          <a:r>
            <a:rPr lang="en-CA" sz="1200"/>
            <a:t>- seismic activity</a:t>
          </a:r>
          <a:br>
            <a:rPr lang="en-CA" sz="1200"/>
          </a:br>
          <a:r>
            <a:rPr lang="en-CA" sz="1200"/>
            <a:t>- gas emissions</a:t>
          </a:r>
          <a:br>
            <a:rPr lang="en-CA" sz="1200"/>
          </a:br>
          <a:r>
            <a:rPr lang="en-CA" sz="1200"/>
            <a:t>- observations</a:t>
          </a:r>
        </a:p>
      </dgm:t>
    </dgm:pt>
    <dgm:pt modelId="{4C71C753-8AE1-4F1C-A162-B3DBC6668721}" type="parTrans" cxnId="{2466552A-9890-48E3-BDB4-29427FA981D4}">
      <dgm:prSet/>
      <dgm:spPr/>
      <dgm:t>
        <a:bodyPr/>
        <a:lstStyle/>
        <a:p>
          <a:endParaRPr lang="en-CA"/>
        </a:p>
      </dgm:t>
    </dgm:pt>
    <dgm:pt modelId="{8E7DCB99-4C09-42DE-9AB8-7B8AE148E0DF}" type="sibTrans" cxnId="{2466552A-9890-48E3-BDB4-29427FA981D4}">
      <dgm:prSet/>
      <dgm:spPr/>
      <dgm:t>
        <a:bodyPr/>
        <a:lstStyle/>
        <a:p>
          <a:endParaRPr lang="en-CA"/>
        </a:p>
      </dgm:t>
    </dgm:pt>
    <dgm:pt modelId="{54D3EF93-A393-4BA8-BDA4-AAB4CBC280BE}" type="pres">
      <dgm:prSet presAssocID="{219E60D3-929C-4B07-8DEE-06B0ACAAA17E}" presName="cycle" presStyleCnt="0">
        <dgm:presLayoutVars>
          <dgm:chMax val="1"/>
          <dgm:dir/>
          <dgm:animLvl val="ctr"/>
          <dgm:resizeHandles val="exact"/>
        </dgm:presLayoutVars>
      </dgm:prSet>
      <dgm:spPr/>
      <dgm:t>
        <a:bodyPr/>
        <a:lstStyle/>
        <a:p>
          <a:endParaRPr lang="en-CA"/>
        </a:p>
      </dgm:t>
    </dgm:pt>
    <dgm:pt modelId="{387924B8-2BB3-4A0F-9668-215AC1EA68D6}" type="pres">
      <dgm:prSet presAssocID="{D174C484-4FEC-4417-ACC9-CBEBBDCFE7FC}" presName="centerShape" presStyleLbl="node0" presStyleIdx="0" presStyleCnt="1" custLinFactNeighborX="-12647" custLinFactNeighborY="-2148"/>
      <dgm:spPr/>
      <dgm:t>
        <a:bodyPr/>
        <a:lstStyle/>
        <a:p>
          <a:endParaRPr lang="en-CA"/>
        </a:p>
      </dgm:t>
    </dgm:pt>
    <dgm:pt modelId="{230DD511-A289-40F7-B06F-7E8C3BF53BF7}" type="pres">
      <dgm:prSet presAssocID="{CE92B8A9-80C8-49B9-980F-9BDF7A516C3F}" presName="parTrans" presStyleLbl="bgSibTrans2D1" presStyleIdx="0" presStyleCnt="4" custScaleX="41811" custLinFactNeighborX="35290" custLinFactNeighborY="22875"/>
      <dgm:spPr/>
      <dgm:t>
        <a:bodyPr/>
        <a:lstStyle/>
        <a:p>
          <a:endParaRPr lang="en-CA"/>
        </a:p>
      </dgm:t>
    </dgm:pt>
    <dgm:pt modelId="{EB153B3E-F8C6-4412-B386-AFBEA97FD0B6}" type="pres">
      <dgm:prSet presAssocID="{DDEB9FDB-A9E7-46A4-BB05-3B9AA09593E1}" presName="node" presStyleLbl="node1" presStyleIdx="0" presStyleCnt="4" custRadScaleRad="127290" custRadScaleInc="-8001">
        <dgm:presLayoutVars>
          <dgm:bulletEnabled val="1"/>
        </dgm:presLayoutVars>
      </dgm:prSet>
      <dgm:spPr/>
      <dgm:t>
        <a:bodyPr/>
        <a:lstStyle/>
        <a:p>
          <a:endParaRPr lang="en-CA"/>
        </a:p>
      </dgm:t>
    </dgm:pt>
    <dgm:pt modelId="{21EEC9B8-A239-4470-AB19-6050BE1AF3A0}" type="pres">
      <dgm:prSet presAssocID="{35B39FC3-965C-4785-B3D2-7DF151F64FC8}" presName="parTrans" presStyleLbl="bgSibTrans2D1" presStyleIdx="1" presStyleCnt="4" custLinFactNeighborX="-18147" custLinFactNeighborY="49018"/>
      <dgm:spPr/>
      <dgm:t>
        <a:bodyPr/>
        <a:lstStyle/>
        <a:p>
          <a:endParaRPr lang="en-CA"/>
        </a:p>
      </dgm:t>
    </dgm:pt>
    <dgm:pt modelId="{E092E35B-696D-40ED-B6B5-5DE40BEA6D9F}" type="pres">
      <dgm:prSet presAssocID="{88B8AD42-C1E1-40A6-AC79-A813101A4DA5}" presName="node" presStyleLbl="node1" presStyleIdx="1" presStyleCnt="4" custRadScaleRad="120771" custRadScaleInc="-30441">
        <dgm:presLayoutVars>
          <dgm:bulletEnabled val="1"/>
        </dgm:presLayoutVars>
      </dgm:prSet>
      <dgm:spPr/>
      <dgm:t>
        <a:bodyPr/>
        <a:lstStyle/>
        <a:p>
          <a:endParaRPr lang="en-CA"/>
        </a:p>
      </dgm:t>
    </dgm:pt>
    <dgm:pt modelId="{2F8D3142-CA89-427B-9F5F-1B5E71E39A57}" type="pres">
      <dgm:prSet presAssocID="{496E775B-93CB-4A16-8795-24D8B75D86EE}" presName="parTrans" presStyleLbl="bgSibTrans2D1" presStyleIdx="2" presStyleCnt="4" custLinFactNeighborX="-11132" custLinFactNeighborY="0"/>
      <dgm:spPr/>
      <dgm:t>
        <a:bodyPr/>
        <a:lstStyle/>
        <a:p>
          <a:endParaRPr lang="en-CA"/>
        </a:p>
      </dgm:t>
    </dgm:pt>
    <dgm:pt modelId="{F67F0892-F46C-41FC-A621-958E53866D33}" type="pres">
      <dgm:prSet presAssocID="{709E7E20-530C-4BD9-83A7-DD585A4ED6B5}" presName="node" presStyleLbl="node1" presStyleIdx="2" presStyleCnt="4" custRadScaleRad="91359" custRadScaleInc="-39929">
        <dgm:presLayoutVars>
          <dgm:bulletEnabled val="1"/>
        </dgm:presLayoutVars>
      </dgm:prSet>
      <dgm:spPr/>
      <dgm:t>
        <a:bodyPr/>
        <a:lstStyle/>
        <a:p>
          <a:endParaRPr lang="en-CA"/>
        </a:p>
      </dgm:t>
    </dgm:pt>
    <dgm:pt modelId="{F76B1ED0-CAF1-4B66-9F5A-06EF5E5554CA}" type="pres">
      <dgm:prSet presAssocID="{4C71C753-8AE1-4F1C-A162-B3DBC6668721}" presName="parTrans" presStyleLbl="bgSibTrans2D1" presStyleIdx="3" presStyleCnt="4" custLinFactNeighborX="-9564" custLinFactNeighborY="-88232"/>
      <dgm:spPr/>
      <dgm:t>
        <a:bodyPr/>
        <a:lstStyle/>
        <a:p>
          <a:endParaRPr lang="en-CA"/>
        </a:p>
      </dgm:t>
    </dgm:pt>
    <dgm:pt modelId="{F80A2969-51AE-4766-A420-1DD4D9961D71}" type="pres">
      <dgm:prSet presAssocID="{1D8F6BEE-6C61-4BF1-9782-BF20C4DE41B6}" presName="node" presStyleLbl="node1" presStyleIdx="3" presStyleCnt="4" custScaleX="144759" custScaleY="170187" custRadScaleRad="93981" custRadScaleInc="17927">
        <dgm:presLayoutVars>
          <dgm:bulletEnabled val="1"/>
        </dgm:presLayoutVars>
      </dgm:prSet>
      <dgm:spPr/>
      <dgm:t>
        <a:bodyPr/>
        <a:lstStyle/>
        <a:p>
          <a:endParaRPr lang="en-CA"/>
        </a:p>
      </dgm:t>
    </dgm:pt>
  </dgm:ptLst>
  <dgm:cxnLst>
    <dgm:cxn modelId="{65057E1E-21CF-4556-9212-6CD3CD1F4A23}" type="presOf" srcId="{709E7E20-530C-4BD9-83A7-DD585A4ED6B5}" destId="{F67F0892-F46C-41FC-A621-958E53866D33}" srcOrd="0" destOrd="0" presId="urn:microsoft.com/office/officeart/2005/8/layout/radial4"/>
    <dgm:cxn modelId="{540AFD0C-6767-4B39-BDA1-F131C21A1AF3}" type="presOf" srcId="{1D8F6BEE-6C61-4BF1-9782-BF20C4DE41B6}" destId="{F80A2969-51AE-4766-A420-1DD4D9961D71}" srcOrd="0" destOrd="0" presId="urn:microsoft.com/office/officeart/2005/8/layout/radial4"/>
    <dgm:cxn modelId="{C2CDF733-2435-44D3-9524-7E4A427C7E13}" srcId="{D174C484-4FEC-4417-ACC9-CBEBBDCFE7FC}" destId="{709E7E20-530C-4BD9-83A7-DD585A4ED6B5}" srcOrd="2" destOrd="0" parTransId="{496E775B-93CB-4A16-8795-24D8B75D86EE}" sibTransId="{EADF09AE-0760-4C1B-A83B-FD6B2B751463}"/>
    <dgm:cxn modelId="{3B00315E-069E-4318-BD55-1D4498392388}" srcId="{219E60D3-929C-4B07-8DEE-06B0ACAAA17E}" destId="{D174C484-4FEC-4417-ACC9-CBEBBDCFE7FC}" srcOrd="0" destOrd="0" parTransId="{D94695E5-11D3-4653-A7EB-F275F8C24792}" sibTransId="{47C5F02B-24D9-4F1D-867D-FB7EBB794936}"/>
    <dgm:cxn modelId="{D76C51D9-6761-4C9C-9979-D344B876F819}" srcId="{219E60D3-929C-4B07-8DEE-06B0ACAAA17E}" destId="{15E0E901-2828-4CB6-AEA6-313B32228554}" srcOrd="2" destOrd="0" parTransId="{8BABFA98-E606-4DC2-8A5C-13F88614707B}" sibTransId="{E779F97C-B66A-4065-A764-FF214003B7DB}"/>
    <dgm:cxn modelId="{B9440CE1-D934-4AE3-ABF8-CB401168E264}" srcId="{D174C484-4FEC-4417-ACC9-CBEBBDCFE7FC}" destId="{88B8AD42-C1E1-40A6-AC79-A813101A4DA5}" srcOrd="1" destOrd="0" parTransId="{35B39FC3-965C-4785-B3D2-7DF151F64FC8}" sibTransId="{37D3BA93-A185-453F-8AFD-D6E96D1BF97C}"/>
    <dgm:cxn modelId="{8124C95E-57FA-4E99-9C3E-1486B6877E42}" type="presOf" srcId="{219E60D3-929C-4B07-8DEE-06B0ACAAA17E}" destId="{54D3EF93-A393-4BA8-BDA4-AAB4CBC280BE}" srcOrd="0" destOrd="0" presId="urn:microsoft.com/office/officeart/2005/8/layout/radial4"/>
    <dgm:cxn modelId="{68B515B0-1A73-43F7-8091-0C1BCB6A6F95}" type="presOf" srcId="{4C71C753-8AE1-4F1C-A162-B3DBC6668721}" destId="{F76B1ED0-CAF1-4B66-9F5A-06EF5E5554CA}" srcOrd="0" destOrd="0" presId="urn:microsoft.com/office/officeart/2005/8/layout/radial4"/>
    <dgm:cxn modelId="{57A27DA1-5327-4AC4-9BCD-FB3DE91B9151}" type="presOf" srcId="{88B8AD42-C1E1-40A6-AC79-A813101A4DA5}" destId="{E092E35B-696D-40ED-B6B5-5DE40BEA6D9F}" srcOrd="0" destOrd="0" presId="urn:microsoft.com/office/officeart/2005/8/layout/radial4"/>
    <dgm:cxn modelId="{5CEF6C36-94C4-480A-A486-9E764F4C5361}" type="presOf" srcId="{D174C484-4FEC-4417-ACC9-CBEBBDCFE7FC}" destId="{387924B8-2BB3-4A0F-9668-215AC1EA68D6}" srcOrd="0" destOrd="0" presId="urn:microsoft.com/office/officeart/2005/8/layout/radial4"/>
    <dgm:cxn modelId="{889162C9-7157-481D-BA28-FA59FA83ECE2}" type="presOf" srcId="{35B39FC3-965C-4785-B3D2-7DF151F64FC8}" destId="{21EEC9B8-A239-4470-AB19-6050BE1AF3A0}" srcOrd="0" destOrd="0" presId="urn:microsoft.com/office/officeart/2005/8/layout/radial4"/>
    <dgm:cxn modelId="{4BF84756-82A9-4487-9D0D-7FF3CFA50D1C}" srcId="{D174C484-4FEC-4417-ACC9-CBEBBDCFE7FC}" destId="{DDEB9FDB-A9E7-46A4-BB05-3B9AA09593E1}" srcOrd="0" destOrd="0" parTransId="{CE92B8A9-80C8-49B9-980F-9BDF7A516C3F}" sibTransId="{F0B056D2-FC3E-43FF-A775-AA311B6960FC}"/>
    <dgm:cxn modelId="{15D19840-0963-4CF1-8516-0D20EB5EB60D}" type="presOf" srcId="{DDEB9FDB-A9E7-46A4-BB05-3B9AA09593E1}" destId="{EB153B3E-F8C6-4412-B386-AFBEA97FD0B6}" srcOrd="0" destOrd="0" presId="urn:microsoft.com/office/officeart/2005/8/layout/radial4"/>
    <dgm:cxn modelId="{2466552A-9890-48E3-BDB4-29427FA981D4}" srcId="{D174C484-4FEC-4417-ACC9-CBEBBDCFE7FC}" destId="{1D8F6BEE-6C61-4BF1-9782-BF20C4DE41B6}" srcOrd="3" destOrd="0" parTransId="{4C71C753-8AE1-4F1C-A162-B3DBC6668721}" sibTransId="{8E7DCB99-4C09-42DE-9AB8-7B8AE148E0DF}"/>
    <dgm:cxn modelId="{D5EEC1A4-541F-491E-833E-B57A2F839379}" srcId="{219E60D3-929C-4B07-8DEE-06B0ACAAA17E}" destId="{4E40CDC3-3646-46E4-AD57-0599661AA7C4}" srcOrd="1" destOrd="0" parTransId="{ECF56845-70E3-44B9-AA57-85BB28D29DAD}" sibTransId="{E85C858E-5071-4212-9882-345BAF62C746}"/>
    <dgm:cxn modelId="{F54DD374-64FC-470E-905E-AFA38F37A25E}" type="presOf" srcId="{CE92B8A9-80C8-49B9-980F-9BDF7A516C3F}" destId="{230DD511-A289-40F7-B06F-7E8C3BF53BF7}" srcOrd="0" destOrd="0" presId="urn:microsoft.com/office/officeart/2005/8/layout/radial4"/>
    <dgm:cxn modelId="{AF4E973D-065C-4651-A926-B85D0ECCC714}" type="presOf" srcId="{496E775B-93CB-4A16-8795-24D8B75D86EE}" destId="{2F8D3142-CA89-427B-9F5F-1B5E71E39A57}" srcOrd="0" destOrd="0" presId="urn:microsoft.com/office/officeart/2005/8/layout/radial4"/>
    <dgm:cxn modelId="{DECAC7A4-3DB0-4164-8173-D8DA845CD5F5}" srcId="{4E40CDC3-3646-46E4-AD57-0599661AA7C4}" destId="{D5A75AC3-CB09-4ADD-91D6-9AA9460AB8BB}" srcOrd="0" destOrd="0" parTransId="{14B77533-22B1-4598-B2D6-73CAEAAF0B18}" sibTransId="{0E81E42F-DABB-4D76-861D-97F5716D0EDA}"/>
    <dgm:cxn modelId="{0C0CD754-F2AA-4B15-99ED-B21F84D01007}" type="presParOf" srcId="{54D3EF93-A393-4BA8-BDA4-AAB4CBC280BE}" destId="{387924B8-2BB3-4A0F-9668-215AC1EA68D6}" srcOrd="0" destOrd="0" presId="urn:microsoft.com/office/officeart/2005/8/layout/radial4"/>
    <dgm:cxn modelId="{7BF7D387-4F18-4DD8-8D89-1CDEEC14DA80}" type="presParOf" srcId="{54D3EF93-A393-4BA8-BDA4-AAB4CBC280BE}" destId="{230DD511-A289-40F7-B06F-7E8C3BF53BF7}" srcOrd="1" destOrd="0" presId="urn:microsoft.com/office/officeart/2005/8/layout/radial4"/>
    <dgm:cxn modelId="{D08E1996-766A-475A-AC59-1F7FB8EA0F9B}" type="presParOf" srcId="{54D3EF93-A393-4BA8-BDA4-AAB4CBC280BE}" destId="{EB153B3E-F8C6-4412-B386-AFBEA97FD0B6}" srcOrd="2" destOrd="0" presId="urn:microsoft.com/office/officeart/2005/8/layout/radial4"/>
    <dgm:cxn modelId="{AF0A1765-70FD-4B9D-9932-EEE38A56DAC6}" type="presParOf" srcId="{54D3EF93-A393-4BA8-BDA4-AAB4CBC280BE}" destId="{21EEC9B8-A239-4470-AB19-6050BE1AF3A0}" srcOrd="3" destOrd="0" presId="urn:microsoft.com/office/officeart/2005/8/layout/radial4"/>
    <dgm:cxn modelId="{528C6215-CF80-40B3-B883-490578194C90}" type="presParOf" srcId="{54D3EF93-A393-4BA8-BDA4-AAB4CBC280BE}" destId="{E092E35B-696D-40ED-B6B5-5DE40BEA6D9F}" srcOrd="4" destOrd="0" presId="urn:microsoft.com/office/officeart/2005/8/layout/radial4"/>
    <dgm:cxn modelId="{67509564-0474-46C4-B19F-DBF56B3965C8}" type="presParOf" srcId="{54D3EF93-A393-4BA8-BDA4-AAB4CBC280BE}" destId="{2F8D3142-CA89-427B-9F5F-1B5E71E39A57}" srcOrd="5" destOrd="0" presId="urn:microsoft.com/office/officeart/2005/8/layout/radial4"/>
    <dgm:cxn modelId="{DA54784F-9485-451C-907E-9EFA1DE3CA01}" type="presParOf" srcId="{54D3EF93-A393-4BA8-BDA4-AAB4CBC280BE}" destId="{F67F0892-F46C-41FC-A621-958E53866D33}" srcOrd="6" destOrd="0" presId="urn:microsoft.com/office/officeart/2005/8/layout/radial4"/>
    <dgm:cxn modelId="{C728A11C-D68E-48A2-A6C1-0B99F3470EAF}" type="presParOf" srcId="{54D3EF93-A393-4BA8-BDA4-AAB4CBC280BE}" destId="{F76B1ED0-CAF1-4B66-9F5A-06EF5E5554CA}" srcOrd="7" destOrd="0" presId="urn:microsoft.com/office/officeart/2005/8/layout/radial4"/>
    <dgm:cxn modelId="{5EE71114-3DC1-4681-A288-554E24C53A6E}" type="presParOf" srcId="{54D3EF93-A393-4BA8-BDA4-AAB4CBC280BE}" destId="{F80A2969-51AE-4766-A420-1DD4D9961D71}" srcOrd="8" destOrd="0" presId="urn:microsoft.com/office/officeart/2005/8/layout/radial4"/>
  </dgm:cxnLst>
  <dgm:bg/>
  <dgm:whole/>
  <dgm:extLst>
    <a:ext uri="http://schemas.microsoft.com/office/drawing/2008/diagram">
      <dsp:dataModelExt xmlns:dsp="http://schemas.microsoft.com/office/drawing/2008/diagram" xmlns="" relId="rId9"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87924B8-2BB3-4A0F-9668-215AC1EA68D6}">
      <dsp:nvSpPr>
        <dsp:cNvPr id="0" name=""/>
        <dsp:cNvSpPr/>
      </dsp:nvSpPr>
      <dsp:spPr>
        <a:xfrm>
          <a:off x="1179529" y="1014876"/>
          <a:ext cx="1023877" cy="102387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CA" sz="1200" kern="1200"/>
            <a:t>Measuring disasters</a:t>
          </a:r>
        </a:p>
      </dsp:txBody>
      <dsp:txXfrm>
        <a:off x="1179529" y="1014876"/>
        <a:ext cx="1023877" cy="1023877"/>
      </dsp:txXfrm>
    </dsp:sp>
    <dsp:sp modelId="{230DD511-A289-40F7-B06F-7E8C3BF53BF7}">
      <dsp:nvSpPr>
        <dsp:cNvPr id="0" name=""/>
        <dsp:cNvSpPr/>
      </dsp:nvSpPr>
      <dsp:spPr>
        <a:xfrm rot="11570994">
          <a:off x="918366" y="1248856"/>
          <a:ext cx="286119" cy="291805"/>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B153B3E-F8C6-4412-B386-AFBEA97FD0B6}">
      <dsp:nvSpPr>
        <dsp:cNvPr id="0" name=""/>
        <dsp:cNvSpPr/>
      </dsp:nvSpPr>
      <dsp:spPr>
        <a:xfrm>
          <a:off x="0" y="862839"/>
          <a:ext cx="972684" cy="77814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lvl="0" algn="ctr" defTabSz="577850">
            <a:lnSpc>
              <a:spcPct val="90000"/>
            </a:lnSpc>
            <a:spcBef>
              <a:spcPct val="0"/>
            </a:spcBef>
            <a:spcAft>
              <a:spcPct val="35000"/>
            </a:spcAft>
          </a:pPr>
          <a:r>
            <a:rPr lang="en-CA" sz="1300" kern="1200"/>
            <a:t/>
          </a:r>
          <a:br>
            <a:rPr lang="en-CA" sz="1300" kern="1200"/>
          </a:br>
          <a:r>
            <a:rPr lang="en-CA" sz="1200" kern="1200"/>
            <a:t>Develop/test models</a:t>
          </a:r>
          <a:r>
            <a:rPr lang="en-CA" sz="1300" kern="1200"/>
            <a:t/>
          </a:r>
          <a:br>
            <a:rPr lang="en-CA" sz="1300" kern="1200"/>
          </a:br>
          <a:endParaRPr lang="en-CA" sz="1300" kern="1200"/>
        </a:p>
      </dsp:txBody>
      <dsp:txXfrm>
        <a:off x="0" y="862839"/>
        <a:ext cx="972684" cy="778147"/>
      </dsp:txXfrm>
    </dsp:sp>
    <dsp:sp modelId="{21EEC9B8-A239-4470-AB19-6050BE1AF3A0}">
      <dsp:nvSpPr>
        <dsp:cNvPr id="0" name=""/>
        <dsp:cNvSpPr/>
      </dsp:nvSpPr>
      <dsp:spPr>
        <a:xfrm rot="14389176">
          <a:off x="702934" y="714689"/>
          <a:ext cx="759979" cy="291805"/>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092E35B-696D-40ED-B6B5-5DE40BEA6D9F}">
      <dsp:nvSpPr>
        <dsp:cNvPr id="0" name=""/>
        <dsp:cNvSpPr/>
      </dsp:nvSpPr>
      <dsp:spPr>
        <a:xfrm>
          <a:off x="543465" y="0"/>
          <a:ext cx="972684" cy="77814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n-CA" sz="1200" kern="1200"/>
            <a:t/>
          </a:r>
          <a:br>
            <a:rPr lang="en-CA" sz="1200" kern="1200"/>
          </a:br>
          <a:r>
            <a:rPr lang="en-CA" sz="1200" kern="1200"/>
            <a:t>Monitoring</a:t>
          </a:r>
          <a:br>
            <a:rPr lang="en-CA" sz="1200" kern="1200"/>
          </a:br>
          <a:r>
            <a:rPr lang="en-CA" sz="1200" kern="1200"/>
            <a:t>Warnings</a:t>
          </a:r>
          <a:br>
            <a:rPr lang="en-CA" sz="1200" kern="1200"/>
          </a:br>
          <a:r>
            <a:rPr lang="en-CA" sz="1200" kern="1200"/>
            <a:t>Preparing</a:t>
          </a:r>
          <a:br>
            <a:rPr lang="en-CA" sz="1200" kern="1200"/>
          </a:br>
          <a:r>
            <a:rPr lang="en-CA" sz="1200" kern="1200"/>
            <a:t>Evacuations</a:t>
          </a:r>
          <a:r>
            <a:rPr lang="en-CA" sz="1100" kern="1200"/>
            <a:t/>
          </a:r>
          <a:br>
            <a:rPr lang="en-CA" sz="1100" kern="1200"/>
          </a:br>
          <a:endParaRPr lang="en-CA" sz="1100" kern="1200"/>
        </a:p>
      </dsp:txBody>
      <dsp:txXfrm>
        <a:off x="543465" y="0"/>
        <a:ext cx="972684" cy="778147"/>
      </dsp:txXfrm>
    </dsp:sp>
    <dsp:sp modelId="{2F8D3142-CA89-427B-9F5F-1B5E71E39A57}">
      <dsp:nvSpPr>
        <dsp:cNvPr id="0" name=""/>
        <dsp:cNvSpPr/>
      </dsp:nvSpPr>
      <dsp:spPr>
        <a:xfrm rot="17574160">
          <a:off x="1621381" y="557931"/>
          <a:ext cx="683395" cy="291805"/>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67F0892-F46C-41FC-A621-958E53866D33}">
      <dsp:nvSpPr>
        <dsp:cNvPr id="0" name=""/>
        <dsp:cNvSpPr/>
      </dsp:nvSpPr>
      <dsp:spPr>
        <a:xfrm>
          <a:off x="1685790" y="0"/>
          <a:ext cx="972684" cy="77814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n-CA" sz="1200" kern="1200"/>
            <a:t>Patterns of new ocurrences </a:t>
          </a:r>
        </a:p>
      </dsp:txBody>
      <dsp:txXfrm>
        <a:off x="1685790" y="0"/>
        <a:ext cx="972684" cy="778147"/>
      </dsp:txXfrm>
    </dsp:sp>
    <dsp:sp modelId="{F76B1ED0-CAF1-4B66-9F5A-06EF5E5554CA}">
      <dsp:nvSpPr>
        <dsp:cNvPr id="0" name=""/>
        <dsp:cNvSpPr/>
      </dsp:nvSpPr>
      <dsp:spPr>
        <a:xfrm rot="21394612">
          <a:off x="2164232" y="1059699"/>
          <a:ext cx="995505" cy="291805"/>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80A2969-51AE-4766-A420-1DD4D9961D71}">
      <dsp:nvSpPr>
        <dsp:cNvPr id="0" name=""/>
        <dsp:cNvSpPr/>
      </dsp:nvSpPr>
      <dsp:spPr>
        <a:xfrm>
          <a:off x="2550035" y="771194"/>
          <a:ext cx="1408047" cy="132430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l" defTabSz="533400">
            <a:lnSpc>
              <a:spcPct val="90000"/>
            </a:lnSpc>
            <a:spcBef>
              <a:spcPct val="0"/>
            </a:spcBef>
            <a:spcAft>
              <a:spcPct val="35000"/>
            </a:spcAft>
          </a:pPr>
          <a:r>
            <a:rPr lang="en-CA" sz="1200" kern="1200"/>
            <a:t>Predictions based on </a:t>
          </a:r>
          <a:br>
            <a:rPr lang="en-CA" sz="1200" kern="1200"/>
          </a:br>
          <a:r>
            <a:rPr lang="en-CA" sz="1200" kern="1200"/>
            <a:t>- ground deformation</a:t>
          </a:r>
          <a:br>
            <a:rPr lang="en-CA" sz="1200" kern="1200"/>
          </a:br>
          <a:r>
            <a:rPr lang="en-CA" sz="1200" kern="1200"/>
            <a:t>- seismic activity</a:t>
          </a:r>
          <a:br>
            <a:rPr lang="en-CA" sz="1200" kern="1200"/>
          </a:br>
          <a:r>
            <a:rPr lang="en-CA" sz="1200" kern="1200"/>
            <a:t>- gas emissions</a:t>
          </a:r>
          <a:br>
            <a:rPr lang="en-CA" sz="1200" kern="1200"/>
          </a:br>
          <a:r>
            <a:rPr lang="en-CA" sz="1200" kern="1200"/>
            <a:t>- observations</a:t>
          </a:r>
        </a:p>
      </dsp:txBody>
      <dsp:txXfrm>
        <a:off x="2550035" y="771194"/>
        <a:ext cx="1408047" cy="1324305"/>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2</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Alysha</dc:creator>
  <cp:lastModifiedBy>Alysha</cp:lastModifiedBy>
  <cp:revision>9</cp:revision>
  <dcterms:created xsi:type="dcterms:W3CDTF">2011-10-03T15:50:00Z</dcterms:created>
  <dcterms:modified xsi:type="dcterms:W3CDTF">2011-10-18T13:45:00Z</dcterms:modified>
</cp:coreProperties>
</file>